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cs="Times New Roman"/>
          <w:color w:val="auto"/>
          <w:sz w:val="24"/>
          <w:szCs w:val="24"/>
          <w:highlight w:val="none"/>
        </w:rPr>
      </w:pPr>
      <w:bookmarkStart w:id="0" w:name="_GoBack"/>
    </w:p>
    <w:p>
      <w:pPr>
        <w:snapToGrid w:val="0"/>
        <w:spacing w:before="312" w:beforeLines="100" w:after="312" w:afterLines="100" w:line="560" w:lineRule="atLeast"/>
        <w:ind w:left="420" w:firstLine="646"/>
        <w:jc w:val="center"/>
        <w:rPr>
          <w:rFonts w:ascii="Times New Roman" w:hAnsi="Times New Roman" w:eastAsia="宋体" w:cs="Times New Roman"/>
          <w:b/>
          <w:color w:val="auto"/>
          <w:w w:val="90"/>
          <w:kern w:val="44"/>
          <w:sz w:val="36"/>
          <w:szCs w:val="36"/>
          <w:highlight w:val="none"/>
        </w:rPr>
      </w:pPr>
      <w:r>
        <w:rPr>
          <w:rFonts w:ascii="Times New Roman" w:hAnsi="Times New Roman" w:eastAsia="宋体" w:cs="Times New Roman"/>
          <w:b/>
          <w:color w:val="auto"/>
          <w:w w:val="90"/>
          <w:kern w:val="44"/>
          <w:sz w:val="36"/>
          <w:szCs w:val="36"/>
          <w:highlight w:val="none"/>
        </w:rPr>
        <w:t xml:space="preserve">武汉东湖新技术开发区预算项目绩效自评报告 </w:t>
      </w:r>
    </w:p>
    <w:p>
      <w:pPr>
        <w:snapToGrid w:val="0"/>
        <w:spacing w:before="120" w:after="120" w:line="600" w:lineRule="atLeast"/>
        <w:ind w:left="420" w:right="24"/>
        <w:jc w:val="left"/>
        <w:rPr>
          <w:rFonts w:ascii="Times New Roman" w:hAnsi="Times New Roman" w:eastAsia="仿宋_GB2312" w:cs="Times New Roman"/>
          <w:b/>
          <w:color w:val="auto"/>
          <w:sz w:val="32"/>
          <w:highlight w:val="none"/>
        </w:rPr>
      </w:pPr>
    </w:p>
    <w:p>
      <w:pPr>
        <w:snapToGrid w:val="0"/>
        <w:spacing w:before="120" w:after="120" w:line="600" w:lineRule="atLeast"/>
        <w:ind w:left="420" w:right="24"/>
        <w:jc w:val="left"/>
        <w:rPr>
          <w:rFonts w:ascii="Times New Roman" w:hAnsi="Times New Roman" w:eastAsia="仿宋_GB2312" w:cs="Times New Roman"/>
          <w:b/>
          <w:color w:val="auto"/>
          <w:sz w:val="32"/>
          <w:highlight w:val="none"/>
        </w:rPr>
      </w:pPr>
    </w:p>
    <w:p>
      <w:pPr>
        <w:snapToGrid w:val="0"/>
        <w:spacing w:before="120" w:after="120" w:line="600" w:lineRule="atLeast"/>
        <w:ind w:left="420" w:right="24"/>
        <w:jc w:val="left"/>
        <w:rPr>
          <w:rFonts w:ascii="Times New Roman" w:hAnsi="Times New Roman" w:eastAsia="仿宋_GB2312" w:cs="Times New Roman"/>
          <w:b/>
          <w:color w:val="auto"/>
          <w:sz w:val="32"/>
          <w:highlight w:val="none"/>
        </w:rPr>
      </w:pPr>
    </w:p>
    <w:p>
      <w:pPr>
        <w:spacing w:before="120" w:after="120"/>
        <w:ind w:left="420"/>
        <w:rPr>
          <w:rFonts w:ascii="Times New Roman" w:hAnsi="Times New Roman" w:cs="Times New Roman"/>
          <w:b/>
          <w:color w:val="auto"/>
          <w:szCs w:val="32"/>
          <w:highlight w:val="none"/>
        </w:rPr>
      </w:pPr>
    </w:p>
    <w:p>
      <w:pPr>
        <w:spacing w:before="120" w:after="120"/>
        <w:ind w:left="420"/>
        <w:rPr>
          <w:rFonts w:ascii="Times New Roman" w:hAnsi="Times New Roman" w:cs="Times New Roman"/>
          <w:b/>
          <w:color w:val="auto"/>
          <w:szCs w:val="32"/>
          <w:highlight w:val="none"/>
        </w:rPr>
      </w:pPr>
    </w:p>
    <w:p>
      <w:pPr>
        <w:spacing w:before="120" w:after="120"/>
        <w:ind w:left="420"/>
        <w:rPr>
          <w:rFonts w:ascii="Times New Roman" w:hAnsi="Times New Roman" w:cs="Times New Roman"/>
          <w:b/>
          <w:color w:val="auto"/>
          <w:sz w:val="36"/>
          <w:szCs w:val="36"/>
          <w:highlight w:val="none"/>
        </w:rPr>
      </w:pPr>
    </w:p>
    <w:p>
      <w:pPr>
        <w:spacing w:before="312" w:beforeLines="100" w:after="312" w:afterLines="100"/>
        <w:ind w:left="420"/>
        <w:rPr>
          <w:rFonts w:ascii="宋体" w:hAnsi="宋体" w:eastAsia="宋体"/>
          <w:b/>
          <w:color w:val="auto"/>
          <w:sz w:val="36"/>
          <w:szCs w:val="36"/>
          <w:highlight w:val="none"/>
          <w:u w:val="single"/>
        </w:rPr>
      </w:pPr>
      <w:r>
        <w:rPr>
          <w:rFonts w:ascii="Times New Roman" w:hAnsi="Times New Roman" w:cs="Times New Roman"/>
          <w:b/>
          <w:color w:val="auto"/>
          <w:sz w:val="36"/>
          <w:szCs w:val="36"/>
          <w:highlight w:val="none"/>
        </w:rPr>
        <w:t xml:space="preserve">    </w:t>
      </w:r>
      <w:r>
        <w:rPr>
          <w:rFonts w:ascii="Times New Roman" w:hAnsi="Times New Roman" w:eastAsia="宋体" w:cs="Times New Roman"/>
          <w:b/>
          <w:color w:val="auto"/>
          <w:sz w:val="36"/>
          <w:szCs w:val="36"/>
          <w:highlight w:val="none"/>
        </w:rPr>
        <w:t xml:space="preserve"> </w:t>
      </w:r>
      <w:r>
        <w:rPr>
          <w:rFonts w:hint="eastAsia" w:ascii="宋体" w:hAnsi="宋体" w:eastAsia="宋体"/>
          <w:b/>
          <w:bCs/>
          <w:color w:val="auto"/>
          <w:sz w:val="36"/>
          <w:szCs w:val="36"/>
          <w:highlight w:val="none"/>
        </w:rPr>
        <w:t xml:space="preserve">项目名称：  </w:t>
      </w:r>
      <w:r>
        <w:rPr>
          <w:rFonts w:hint="eastAsia" w:ascii="宋体" w:hAnsi="宋体" w:eastAsia="宋体"/>
          <w:b/>
          <w:bCs/>
          <w:color w:val="auto"/>
          <w:sz w:val="36"/>
          <w:szCs w:val="36"/>
          <w:highlight w:val="none"/>
          <w:u w:val="single"/>
        </w:rPr>
        <w:t xml:space="preserve">      </w:t>
      </w:r>
      <w:r>
        <w:rPr>
          <w:rFonts w:hint="eastAsia" w:ascii="Times New Roman" w:eastAsia="宋体" w:cs="Times New Roman"/>
          <w:b/>
          <w:bCs/>
          <w:color w:val="auto"/>
          <w:sz w:val="36"/>
          <w:szCs w:val="36"/>
          <w:highlight w:val="none"/>
          <w:u w:val="single"/>
        </w:rPr>
        <w:t>警用装备购置项目</w:t>
      </w:r>
      <w:r>
        <w:rPr>
          <w:rFonts w:hint="eastAsia" w:ascii="宋体" w:hAnsi="宋体" w:eastAsia="宋体"/>
          <w:b/>
          <w:bCs/>
          <w:color w:val="auto"/>
          <w:sz w:val="36"/>
          <w:szCs w:val="36"/>
          <w:highlight w:val="none"/>
          <w:u w:val="single"/>
        </w:rPr>
        <w:t xml:space="preserve">      </w:t>
      </w:r>
    </w:p>
    <w:p>
      <w:pPr>
        <w:spacing w:before="312" w:beforeLines="100" w:after="312" w:afterLines="100"/>
        <w:ind w:left="420" w:firstLine="885" w:firstLineChars="245"/>
        <w:rPr>
          <w:rFonts w:ascii="宋体" w:hAnsi="宋体" w:eastAsia="宋体"/>
          <w:b/>
          <w:color w:val="auto"/>
          <w:sz w:val="36"/>
          <w:szCs w:val="36"/>
          <w:highlight w:val="none"/>
          <w:u w:val="single"/>
        </w:rPr>
      </w:pPr>
      <w:r>
        <w:rPr>
          <w:rFonts w:hint="eastAsia" w:ascii="宋体" w:hAnsi="宋体" w:eastAsia="宋体"/>
          <w:b/>
          <w:bCs/>
          <w:color w:val="auto"/>
          <w:sz w:val="36"/>
          <w:szCs w:val="36"/>
          <w:highlight w:val="none"/>
        </w:rPr>
        <w:t xml:space="preserve">项目单位： </w:t>
      </w:r>
      <w:r>
        <w:rPr>
          <w:rFonts w:hint="eastAsia" w:ascii="宋体" w:hAnsi="宋体" w:eastAsia="宋体"/>
          <w:b/>
          <w:bCs/>
          <w:color w:val="auto"/>
          <w:sz w:val="30"/>
          <w:szCs w:val="30"/>
          <w:highlight w:val="none"/>
          <w:u w:val="single"/>
        </w:rPr>
        <w:t xml:space="preserve">武汉市公安局武汉东湖新技术开发区分局 </w:t>
      </w:r>
    </w:p>
    <w:p>
      <w:pPr>
        <w:spacing w:before="312" w:beforeLines="100" w:after="312" w:afterLines="100"/>
        <w:ind w:left="420" w:firstLine="964" w:firstLineChars="300"/>
        <w:rPr>
          <w:rFonts w:ascii="宋体" w:hAnsi="宋体" w:eastAsia="宋体"/>
          <w:b/>
          <w:bCs/>
          <w:color w:val="auto"/>
          <w:sz w:val="30"/>
          <w:szCs w:val="30"/>
          <w:highlight w:val="none"/>
          <w:u w:val="single"/>
        </w:rPr>
      </w:pPr>
      <w:r>
        <w:rPr>
          <w:rFonts w:hint="eastAsia" w:ascii="宋体" w:hAnsi="宋体" w:eastAsia="宋体"/>
          <w:b/>
          <w:bCs/>
          <w:color w:val="auto"/>
          <w:sz w:val="32"/>
          <w:szCs w:val="32"/>
          <w:highlight w:val="none"/>
        </w:rPr>
        <w:t>区财政局主管业务科室</w:t>
      </w:r>
      <w:r>
        <w:rPr>
          <w:rFonts w:hint="eastAsia" w:ascii="宋体" w:hAnsi="宋体" w:eastAsia="宋体"/>
          <w:b/>
          <w:bCs/>
          <w:color w:val="auto"/>
          <w:sz w:val="30"/>
          <w:szCs w:val="30"/>
          <w:highlight w:val="none"/>
        </w:rPr>
        <w:t>：</w:t>
      </w:r>
      <w:r>
        <w:rPr>
          <w:rFonts w:hint="eastAsia" w:ascii="宋体" w:hAnsi="宋体" w:eastAsia="宋体"/>
          <w:b/>
          <w:bCs/>
          <w:color w:val="auto"/>
          <w:sz w:val="30"/>
          <w:szCs w:val="30"/>
          <w:highlight w:val="none"/>
          <w:u w:val="single"/>
        </w:rPr>
        <w:t xml:space="preserve"> 东湖高新区财政局行财科  </w:t>
      </w:r>
    </w:p>
    <w:p>
      <w:pPr>
        <w:spacing w:before="312" w:beforeLines="100" w:after="312" w:afterLines="100"/>
        <w:ind w:left="420" w:firstLine="904" w:firstLineChars="250"/>
        <w:rPr>
          <w:rFonts w:ascii="Times New Roman" w:hAnsi="Times New Roman" w:eastAsia="宋体" w:cs="Times New Roman"/>
          <w:b/>
          <w:bCs/>
          <w:color w:val="auto"/>
          <w:sz w:val="36"/>
          <w:szCs w:val="36"/>
          <w:highlight w:val="none"/>
          <w:u w:val="single"/>
        </w:rPr>
      </w:pPr>
      <w:r>
        <w:rPr>
          <w:rFonts w:hint="eastAsia" w:ascii="宋体" w:hAnsi="宋体" w:eastAsia="宋体"/>
          <w:b/>
          <w:bCs/>
          <w:color w:val="auto"/>
          <w:sz w:val="36"/>
          <w:szCs w:val="36"/>
          <w:highlight w:val="none"/>
        </w:rPr>
        <w:t xml:space="preserve">评价机构： </w:t>
      </w:r>
      <w:r>
        <w:rPr>
          <w:rFonts w:hint="eastAsia" w:ascii="宋体" w:hAnsi="宋体" w:eastAsia="宋体"/>
          <w:b/>
          <w:bCs/>
          <w:color w:val="auto"/>
          <w:sz w:val="36"/>
          <w:szCs w:val="36"/>
          <w:highlight w:val="none"/>
          <w:u w:val="single"/>
        </w:rPr>
        <w:t xml:space="preserve">  </w:t>
      </w:r>
      <w:r>
        <w:rPr>
          <w:rFonts w:hint="eastAsia" w:ascii="宋体" w:hAnsi="宋体" w:eastAsia="宋体"/>
          <w:b/>
          <w:bCs/>
          <w:color w:val="auto"/>
          <w:sz w:val="30"/>
          <w:szCs w:val="30"/>
          <w:highlight w:val="none"/>
          <w:u w:val="single"/>
        </w:rPr>
        <w:t xml:space="preserve">湖北中信会计师事务有限责任公司  </w:t>
      </w:r>
      <w:r>
        <w:rPr>
          <w:rFonts w:hint="eastAsia" w:ascii="宋体" w:hAnsi="宋体" w:eastAsia="宋体"/>
          <w:b/>
          <w:bCs/>
          <w:color w:val="auto"/>
          <w:sz w:val="36"/>
          <w:szCs w:val="36"/>
          <w:highlight w:val="none"/>
          <w:u w:val="single"/>
        </w:rPr>
        <w:t xml:space="preserve"> </w:t>
      </w:r>
    </w:p>
    <w:p>
      <w:pPr>
        <w:spacing w:before="120" w:after="120"/>
        <w:ind w:left="420" w:firstLine="900" w:firstLineChars="250"/>
        <w:rPr>
          <w:rFonts w:ascii="Times New Roman" w:hAnsi="Times New Roman" w:eastAsia="黑体" w:cs="Times New Roman"/>
          <w:bCs/>
          <w:color w:val="auto"/>
          <w:sz w:val="36"/>
          <w:szCs w:val="36"/>
          <w:highlight w:val="none"/>
        </w:rPr>
      </w:pPr>
    </w:p>
    <w:p>
      <w:pPr>
        <w:spacing w:before="120" w:after="120"/>
        <w:ind w:left="420"/>
        <w:jc w:val="center"/>
        <w:rPr>
          <w:rFonts w:ascii="Times New Roman" w:hAnsi="Times New Roman" w:cs="Times New Roman"/>
          <w:b/>
          <w:color w:val="auto"/>
          <w:sz w:val="30"/>
          <w:szCs w:val="30"/>
          <w:highlight w:val="none"/>
        </w:rPr>
      </w:pPr>
    </w:p>
    <w:p>
      <w:pPr>
        <w:spacing w:before="120" w:after="120"/>
        <w:ind w:left="420"/>
        <w:jc w:val="center"/>
        <w:rPr>
          <w:rFonts w:ascii="Times New Roman" w:hAnsi="Times New Roman" w:cs="Times New Roman"/>
          <w:b/>
          <w:color w:val="auto"/>
          <w:sz w:val="30"/>
          <w:szCs w:val="30"/>
          <w:highlight w:val="none"/>
        </w:rPr>
      </w:pPr>
    </w:p>
    <w:p>
      <w:pPr>
        <w:spacing w:before="120" w:after="120"/>
        <w:ind w:left="420"/>
        <w:jc w:val="center"/>
        <w:rPr>
          <w:rFonts w:ascii="Times New Roman" w:hAnsi="Times New Roman" w:cs="Times New Roman"/>
          <w:b/>
          <w:color w:val="auto"/>
          <w:sz w:val="30"/>
          <w:szCs w:val="30"/>
          <w:highlight w:val="none"/>
        </w:rPr>
      </w:pPr>
    </w:p>
    <w:p>
      <w:pPr>
        <w:spacing w:before="120" w:after="120"/>
        <w:rPr>
          <w:rFonts w:ascii="Times New Roman" w:hAnsi="Times New Roman" w:cs="Times New Roman"/>
          <w:b/>
          <w:color w:val="auto"/>
          <w:sz w:val="30"/>
          <w:szCs w:val="30"/>
          <w:highlight w:val="none"/>
        </w:rPr>
      </w:pPr>
    </w:p>
    <w:p>
      <w:pPr>
        <w:spacing w:before="120" w:after="120"/>
        <w:ind w:left="420"/>
        <w:jc w:val="center"/>
        <w:rPr>
          <w:rFonts w:ascii="Times New Roman" w:hAnsi="Times New Roman" w:cs="Times New Roman"/>
          <w:b/>
          <w:color w:val="auto"/>
          <w:sz w:val="30"/>
          <w:szCs w:val="30"/>
          <w:highlight w:val="none"/>
        </w:rPr>
        <w:sectPr>
          <w:headerReference r:id="rId3" w:type="default"/>
          <w:footerReference r:id="rId4" w:type="default"/>
          <w:pgSz w:w="11906" w:h="16838"/>
          <w:pgMar w:top="1474" w:right="1474" w:bottom="1474" w:left="1474" w:header="851" w:footer="992" w:gutter="340"/>
          <w:cols w:space="425" w:num="1"/>
          <w:docGrid w:type="lines" w:linePitch="312" w:charSpace="0"/>
        </w:sectPr>
      </w:pPr>
      <w:r>
        <w:rPr>
          <w:rFonts w:ascii="Times New Roman" w:hAnsi="Times New Roman" w:cs="Times New Roman"/>
          <w:b/>
          <w:color w:val="auto"/>
          <w:sz w:val="30"/>
          <w:szCs w:val="30"/>
          <w:highlight w:val="none"/>
        </w:rPr>
        <w:t>2018年06月</w:t>
      </w:r>
    </w:p>
    <w:p>
      <w:pPr>
        <w:pStyle w:val="9"/>
        <w:numPr>
          <w:ilvl w:val="0"/>
          <w:numId w:val="1"/>
        </w:numPr>
        <w:spacing w:after="156" w:afterLines="50" w:line="480" w:lineRule="exact"/>
        <w:ind w:left="0" w:firstLine="482"/>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项目基本情况</w:t>
      </w:r>
    </w:p>
    <w:p>
      <w:pPr>
        <w:numPr>
          <w:ilvl w:val="0"/>
          <w:numId w:val="2"/>
        </w:numPr>
        <w:spacing w:after="156" w:afterLines="50" w:line="480" w:lineRule="exact"/>
        <w:ind w:left="0"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项目概况</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警用装备购置项目系武汉市公安局</w:t>
      </w:r>
      <w:r>
        <w:rPr>
          <w:rFonts w:hint="eastAsia" w:ascii="Times New Roman" w:hAnsi="Times New Roman" w:eastAsia="宋体" w:cs="Times New Roman"/>
          <w:color w:val="auto"/>
          <w:sz w:val="24"/>
          <w:szCs w:val="24"/>
          <w:highlight w:val="none"/>
        </w:rPr>
        <w:t>武汉</w:t>
      </w:r>
      <w:r>
        <w:rPr>
          <w:rFonts w:ascii="Times New Roman" w:hAnsi="Times New Roman" w:eastAsia="宋体" w:cs="Times New Roman"/>
          <w:color w:val="auto"/>
          <w:sz w:val="24"/>
          <w:szCs w:val="24"/>
          <w:highlight w:val="none"/>
        </w:rPr>
        <w:t>东湖新技术开发区分局（以下简称“高新分局”）显著提高民警执法设备装备水平、显著增强民警执法取证能力、单警装备配备率达到100%，设备使用部门或人员满意率98%的财政预算项目。</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该项目立项依据为提高落实《省公安厅关于湖北“2014-3网安发展工程实施计划的通知》，（武公密发【2015】156号），《关于组织开展公安装备建设”十二五“规划国保项目建设的通知》武公国保【2015】71号等文件精神，以及高新分局的工作职责和单位工作的实际需要。</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警用装备购置项目的内容为单警装备购置、执法记录仪购置、应急装备购置、刑侦大队技术专用设备购置和移动取证设备购置等支出，具体如下：</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1、单警装备购置费22.50万元，用于新调入人员及报废更新；</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 执法记录仪购置费24.00万元，巡逻接处警辅警配备30部，更新50部 ；</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3、应急装备购置费27.60万元 ；</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4、刑侦大队技术专用设备购置费90.00万元。</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5、移动取证设备购置费68.00万元。</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6、执法仪采集平台购置费16.20万元</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7、涉案财务室装备购置费  17.80万元</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8、民警服装费183.90万元。</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该项目支出总预算金额为450万元，且在当期已全部使用完毕。</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(二)项目预算绩效目标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1、产出指标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（1）产出数量</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a、购置单警装备套数                    90套</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b、购置执法仪部数                      80部</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c、购置应急装备批数                    1批</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d、购置刑侦技术专用设备套数           1套</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e、购置国保取证装备批数                1批</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f、购置执法仪采集平台数                9台</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g、购置涉案财务室装备批数              1批</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h、购置更新民警服装套数                613套</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（2）质量指标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采购设备质量达标率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（3）时效指标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采购及时完成率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（4）成本指标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成本控制率   执行预算率</w:t>
      </w:r>
      <w:r>
        <w:rPr>
          <w:rFonts w:hint="eastAsia" w:ascii="宋体" w:hAnsi="宋体" w:eastAsia="宋体" w:cs="宋体"/>
          <w:color w:val="auto"/>
          <w:sz w:val="24"/>
          <w:szCs w:val="24"/>
          <w:highlight w:val="none"/>
        </w:rPr>
        <w:t>≦</w:t>
      </w:r>
      <w:r>
        <w:rPr>
          <w:rFonts w:ascii="Times New Roman" w:hAnsi="Times New Roman" w:eastAsia="宋体" w:cs="Times New Roman"/>
          <w:color w:val="auto"/>
          <w:sz w:val="24"/>
          <w:szCs w:val="24"/>
          <w:highlight w:val="none"/>
        </w:rPr>
        <w:t>100%</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2、效益指标</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（1）经济效益指标：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本项目无直接经济效益，因此未设置经济效益指标。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rPr>
        <w:t>2</w:t>
      </w:r>
      <w:r>
        <w:rPr>
          <w:rFonts w:ascii="Times New Roman" w:hAnsi="Times New Roman" w:eastAsia="宋体" w:cs="Times New Roman"/>
          <w:color w:val="auto"/>
          <w:sz w:val="24"/>
          <w:szCs w:val="24"/>
          <w:highlight w:val="none"/>
        </w:rPr>
        <w:t>）社会效益指标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单警装备配备率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rPr>
        <w:t>3</w:t>
      </w:r>
      <w:r>
        <w:rPr>
          <w:rFonts w:ascii="Times New Roman" w:hAnsi="Times New Roman" w:eastAsia="宋体" w:cs="Times New Roman"/>
          <w:color w:val="auto"/>
          <w:sz w:val="24"/>
          <w:szCs w:val="24"/>
          <w:highlight w:val="none"/>
        </w:rPr>
        <w:t>）社会公众或服务对象满意度指标</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设备使用部门或人员满意率                 98%</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（4）生态效益指标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本项目无直接生态效益，因此未设置生态效益指标。</w:t>
      </w:r>
    </w:p>
    <w:p>
      <w:pPr>
        <w:spacing w:after="156" w:afterLines="50" w:line="480" w:lineRule="exact"/>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二、项目绩效分析</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（一）项目管理情况</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1、业务管理情况</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（1）项目基础资料是否齐备</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装备配备按照“贴近实战、科学配备、讲求效能、及时更新”的要求，保障高新分局公安工作运行和公安民警执法勤务最基本的需求。</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按照政府采购的要求，建立装备采购台账。相关资料有政府采购审批表、需求报告、需求项目技术参数、采购合同验收单，发放登记表等，并进行登记归档。</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高新分局针对项目内容制定了相关的项目管理制度，制度较为健全，并合规合法，如《武汉市公安局武汉东湖新技术开发区分局装备管理实施细则》、《财务管理规定》、《政府采购管理规定》和《合同管理规定》。</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（2）项目质量控制采取的措施；</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警务保障室按照上级公安机关关于装备配备标准，结合分局实际，制定全局装备配置计划；负责全局装备统一购置、调配和回收处理；建立健全分局装备登记台账；对各单位装备使用、管理情况进行检查、指导。</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装备由警务保障室统一采购，任何单位不得采购装备。采购时，由保障室根据上级部门制定的装备配备标准，按照《采购管理规定》执行。</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警用装备的采购，高新分局始终坚持“服务中心工作，服务实战需求，服务基层一线”的总要求，坚持“保障有力管理规范、服务到位、廉洁高效”的总目标，统筹考虑各警种部门和基层一线发展需求，在广泛征求广大基层一线需求和业务部门的需求的基础上，制定采购计划，同时让装备的使用单位代表参与到装备的选型和采购工作中，确保采购装备是实战所需，民警拍手称好的优质装备。</w:t>
      </w:r>
      <w:r>
        <w:rPr>
          <w:rFonts w:ascii="Times New Roman" w:hAnsi="Times New Roman" w:eastAsia="宋体" w:cs="Times New Roman"/>
          <w:color w:val="auto"/>
          <w:sz w:val="24"/>
          <w:szCs w:val="24"/>
          <w:highlight w:val="none"/>
        </w:rPr>
        <w:br w:type="textWrapping"/>
      </w:r>
      <w:r>
        <w:rPr>
          <w:rFonts w:ascii="Times New Roman" w:hAnsi="Times New Roman" w:eastAsia="宋体" w:cs="Times New Roman"/>
          <w:color w:val="auto"/>
          <w:sz w:val="24"/>
          <w:szCs w:val="24"/>
          <w:highlight w:val="none"/>
        </w:rPr>
        <w:t xml:space="preserve">   （3）项目验收情况</w:t>
      </w:r>
      <w:r>
        <w:rPr>
          <w:rFonts w:ascii="Times New Roman" w:hAnsi="Times New Roman" w:eastAsia="宋体" w:cs="Times New Roman"/>
          <w:color w:val="auto"/>
          <w:kern w:val="0"/>
          <w:sz w:val="24"/>
          <w:szCs w:val="24"/>
          <w:highlight w:val="none"/>
        </w:rPr>
        <w:br w:type="textWrapping"/>
      </w:r>
      <w:r>
        <w:rPr>
          <w:rFonts w:ascii="Times New Roman" w:hAnsi="Times New Roman" w:eastAsia="宋体" w:cs="Times New Roman"/>
          <w:color w:val="auto"/>
          <w:sz w:val="24"/>
          <w:szCs w:val="24"/>
          <w:highlight w:val="none"/>
        </w:rPr>
        <w:t xml:space="preserve">    完成装备的采购工作后，采购负责人组织分局纪委的相关同志以及装备使用单位的代表，对采购的装备进行验收入库后，根据各单位的需求子以发放。</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2、财务管理情况</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高新分局制定了《财务管理规定》，规范了预算管理、收入管理、支出管理、资金管理等，符合财务会计制度要求，按照要求设立项目专账，做到专款专用。</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本期</w:t>
      </w:r>
      <w:r>
        <w:rPr>
          <w:rFonts w:hint="eastAsia" w:ascii="Times New Roman" w:hAnsi="Times New Roman" w:eastAsia="宋体" w:cs="Times New Roman"/>
          <w:color w:val="auto"/>
          <w:sz w:val="24"/>
          <w:szCs w:val="24"/>
          <w:highlight w:val="none"/>
        </w:rPr>
        <w:t>警用设备购置</w:t>
      </w:r>
      <w:r>
        <w:rPr>
          <w:rFonts w:ascii="Times New Roman" w:hAnsi="Times New Roman" w:eastAsia="宋体" w:cs="Times New Roman"/>
          <w:color w:val="auto"/>
          <w:sz w:val="24"/>
          <w:szCs w:val="24"/>
          <w:highlight w:val="none"/>
        </w:rPr>
        <w:t>项目支出预算450.00万元，实际资金到位450.00万元；本期项目实际支出450.00万元。</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该项目支出总预算金额为450万元，且在当期已全部使用完毕。其中单警装备购置费22.50万元；执法记录仪购置费24.00万元；应急装备购置费27.60万元；刑侦大队技术专用设备购置费90.00万元；移动取证设备购置费68.00万元；执法仪采集平台购置费16.20万元；涉案财务室装备购置费17.80万元；民警服装费183.90万元。项目经费实际资金到位450.00万元。本期项目实际支出</w:t>
      </w:r>
      <w:r>
        <w:rPr>
          <w:rFonts w:ascii="Times New Roman" w:hAnsi="Times New Roman" w:eastAsia="宋体" w:cs="Times New Roman"/>
          <w:color w:val="auto"/>
          <w:sz w:val="24"/>
          <w:szCs w:val="24"/>
          <w:highlight w:val="none"/>
        </w:rPr>
        <w:t>450.00</w:t>
      </w:r>
      <w:r>
        <w:rPr>
          <w:rFonts w:hint="eastAsia" w:ascii="Times New Roman" w:hAnsi="Times New Roman" w:eastAsia="宋体" w:cs="Times New Roman"/>
          <w:color w:val="auto"/>
          <w:sz w:val="24"/>
          <w:szCs w:val="24"/>
          <w:highlight w:val="none"/>
        </w:rPr>
        <w:t>万元，不存在实际支出超出预算的现象，也不存在截留、挤占、挪用、虚列支出等情况。</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（二）项目预算绩效目标的完成情况</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1、产出指标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（1）数量指标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a、购置单警装备套数95套，完成率 105.56%。</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b、购置执法仪个数140，完成率 175% 。</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c、购置应急装备批数1批，完成率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d、购置刑侦技术专用设备套数 1套，完成率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e、购置国保取证装备批数1批，完成率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f、购置执法仪采集平台数 9台，完成率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g、购置涉案财务室装备批数 1批，完成率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h、购置更新民警服装套数 613套，完成率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（2）质量指标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采购设备质量达标率 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（3）时效指标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采购及时完成率100%</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（4）成本指标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高新分局警用设备购置项目资金预算为450万元，项目实际支出450万元，</w:t>
      </w:r>
      <w:r>
        <w:rPr>
          <w:rFonts w:ascii="Times New Roman" w:hAnsi="Times New Roman" w:eastAsia="宋体" w:cs="Times New Roman"/>
          <w:color w:val="auto"/>
          <w:sz w:val="24"/>
          <w:szCs w:val="24"/>
          <w:highlight w:val="none"/>
        </w:rPr>
        <w:t>执行预算率为100%</w:t>
      </w:r>
      <w:r>
        <w:rPr>
          <w:rFonts w:hint="eastAsia" w:ascii="Times New Roman" w:hAnsi="Times New Roman" w:eastAsia="宋体" w:cs="Times New Roman"/>
          <w:color w:val="auto"/>
          <w:sz w:val="24"/>
          <w:szCs w:val="24"/>
          <w:highlight w:val="none"/>
        </w:rPr>
        <w:t>。</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2、效果目标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特别是在警力严重不足的情况下，向装备要警力，向装备要战斗力是实施科技强警的重要举措。警用装备是民警日常执法执勤的必须品，也是确保民警文明规范执法的重要保障，为民警执法安全提供有力的保障。2017年高新分局单警装备实际配备率100%</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设备使用部门或人员满意率100%，大大提升了公安机关战斗力。</w:t>
      </w:r>
    </w:p>
    <w:p>
      <w:pPr>
        <w:spacing w:after="156" w:afterLines="50" w:line="480" w:lineRule="exact"/>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三、自评结论</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（一）自评结论</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高新分局深入贯彻党的十八大和十九大会议精神，以中央政法工作会议、全国公安厅局长会议、全省公安工作会议等一系列重要会议精神为指引，以党的十九大安保工作为主线，紧紧围绕“321”工作总体思路，紧盯“四个一流”工作目标，聚焦“四项建设”，聚力“四大警务”，以“服务中心工作，服务实战需求，服务基层一线”为遵循，主动谋事干事，认真履职，紧密团结协作，为全局维护政治、政权安全和确保社会稳定提供了坚实高效的服务保障。</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一、开源节流做好各项经费保障。始终把服务公安中心工作置于警务保障工作的首要位置，围绕健全完善平安稳定保障机制和深化公安改革建设任务，在面临财政收入持续减缓、经济下行压力持续加大的严峻挑战下，主动作为“开源”，多途径协调解决经费保障需求。</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二、履行好职能扎实开展自查整改工作。高新分局精心组织、周密部署、积极履职、落实责任，督促按时保质完成自查自纠工作。</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三、建章立制夯实警务保障基础。依据《财政部关于全面推行行政事业单位内部控制建设的指导意见》和《行政事业单位内部控制规范（试行）》文件要求，将建立健全单位内部控制制度作为年度专项工作大力推进。</w:t>
      </w:r>
    </w:p>
    <w:p>
      <w:pPr>
        <w:spacing w:after="156" w:afterLines="50"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四、全力以赴推进装备重点项目。实际科技强警举措，始终坚持把公安装备建设作为警务保障部门服务警务实战化的重要抓手，积极开展刑侦、技侦、反恐、国保、网安、视侦等技术手段建设，加强通讯指挥、应急处理、执法勤务等警用装备配备。</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警用装备经费的投入使用，一是确保了装备信息化建设的力度。二是四侦装备水准保持前列，全力打造了刑侦、技侦、网侦、视侦部门侦査破案尖刀理论，突出了“实战、实用、实效”导向。三是反恐应急保障硬实力提升，在快速反应实战拉动演练、抢险救灾、大型活动、以及安保工作中提供了坚实的保障。</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本项目综合考评得分为99分，评价等次确定为优。</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（二）主要经验，存在的问题和改进措施</w:t>
      </w:r>
    </w:p>
    <w:p>
      <w:pPr>
        <w:spacing w:after="156" w:afterLines="50" w:line="480" w:lineRule="exact"/>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根据公安装备实际和实战需求，深入调研，紧紧围绕“贴近业务、管好事务、保障警务、高效服务”这一主线，编制装备预算。同时结合每年达到使用年限的装备数量，按照市局下发的配发标准进行统一的核算编报，确保绩效预算有文件支撑，有需求导向。</w:t>
      </w:r>
    </w:p>
    <w:p>
      <w:pPr>
        <w:snapToGrid w:val="0"/>
        <w:spacing w:after="50" w:line="480" w:lineRule="exact"/>
        <w:ind w:firstLine="200"/>
        <w:rPr>
          <w:rFonts w:ascii="Times New Roman" w:hAnsi="Times New Roman" w:eastAsia="宋体" w:cs="Times New Roman"/>
          <w:color w:val="auto"/>
          <w:sz w:val="24"/>
          <w:szCs w:val="24"/>
          <w:highlight w:val="none"/>
        </w:rPr>
      </w:pPr>
    </w:p>
    <w:p>
      <w:pPr>
        <w:snapToGrid w:val="0"/>
        <w:spacing w:after="50" w:line="480" w:lineRule="exact"/>
        <w:ind w:firstLine="200"/>
        <w:rPr>
          <w:rFonts w:ascii="Times New Roman" w:hAnsi="Times New Roman" w:eastAsia="宋体" w:cs="Times New Roman"/>
          <w:color w:val="auto"/>
          <w:sz w:val="24"/>
          <w:szCs w:val="24"/>
          <w:highlight w:val="none"/>
        </w:rPr>
      </w:pPr>
    </w:p>
    <w:p>
      <w:pPr>
        <w:snapToGrid w:val="0"/>
        <w:spacing w:after="50" w:line="480" w:lineRule="exact"/>
        <w:ind w:firstLine="200"/>
        <w:rPr>
          <w:rFonts w:ascii="Times New Roman" w:hAnsi="Times New Roman" w:eastAsia="宋体" w:cs="Times New Roman"/>
          <w:color w:val="auto"/>
          <w:sz w:val="24"/>
          <w:szCs w:val="24"/>
          <w:highlight w:val="none"/>
        </w:rPr>
      </w:pPr>
    </w:p>
    <w:p>
      <w:pPr>
        <w:spacing w:after="50" w:line="480" w:lineRule="exact"/>
        <w:ind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附件：绩效评价评分表</w:t>
      </w:r>
    </w:p>
    <w:p>
      <w:pPr>
        <w:pStyle w:val="9"/>
        <w:spacing w:after="50" w:line="480" w:lineRule="exact"/>
        <w:ind w:firstLine="200" w:firstLineChars="0"/>
        <w:rPr>
          <w:rFonts w:ascii="Times New Roman" w:hAnsi="Times New Roman" w:eastAsia="宋体" w:cs="Times New Roman"/>
          <w:color w:val="auto"/>
          <w:sz w:val="24"/>
          <w:szCs w:val="24"/>
          <w:highlight w:val="none"/>
        </w:rPr>
      </w:pPr>
    </w:p>
    <w:p>
      <w:pPr>
        <w:spacing w:after="50" w:line="480" w:lineRule="exact"/>
        <w:ind w:firstLine="200"/>
        <w:rPr>
          <w:rFonts w:ascii="Times New Roman" w:hAnsi="Times New Roman" w:eastAsia="宋体" w:cs="Times New Roman"/>
          <w:color w:val="auto"/>
          <w:sz w:val="24"/>
          <w:szCs w:val="24"/>
          <w:highlight w:val="none"/>
        </w:rPr>
      </w:pPr>
    </w:p>
    <w:p>
      <w:pPr>
        <w:spacing w:after="50" w:line="480" w:lineRule="exact"/>
        <w:ind w:firstLine="200"/>
        <w:rPr>
          <w:rFonts w:ascii="Times New Roman" w:hAnsi="Times New Roman" w:eastAsia="宋体" w:cs="Times New Roman"/>
          <w:color w:val="auto"/>
          <w:sz w:val="24"/>
          <w:szCs w:val="24"/>
          <w:highlight w:val="none"/>
        </w:rPr>
      </w:pPr>
    </w:p>
    <w:bookmarkEnd w:id="0"/>
    <w:sectPr>
      <w:footerReference r:id="rId5" w:type="default"/>
      <w:pgSz w:w="11906" w:h="16838"/>
      <w:pgMar w:top="1474" w:right="1474" w:bottom="1474" w:left="1474" w:header="851" w:footer="992" w:gutter="34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5139171"/>
      <w:docPartObj>
        <w:docPartGallery w:val="autotext"/>
      </w:docPartObj>
    </w:sdtPr>
    <w:sdtContent>
      <w:p>
        <w:pPr>
          <w:pStyle w:val="3"/>
          <w:jc w:val="right"/>
        </w:pPr>
        <w:r>
          <w:fldChar w:fldCharType="begin"/>
        </w:r>
        <w:r>
          <w:instrText xml:space="preserve">PAGE   \* MERGEFORMAT</w:instrText>
        </w:r>
        <w:r>
          <w:fldChar w:fldCharType="separate"/>
        </w:r>
        <w:r>
          <w:rPr>
            <w:lang w:val="zh-CN"/>
          </w:rPr>
          <w:t>-</w:t>
        </w:r>
        <w:r>
          <w:t xml:space="preserve"> 6 -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0BD3"/>
    <w:multiLevelType w:val="multilevel"/>
    <w:tmpl w:val="09110BD3"/>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1E06DC"/>
    <w:multiLevelType w:val="multilevel"/>
    <w:tmpl w:val="4F1E06DC"/>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BBF"/>
    <w:rsid w:val="0002335B"/>
    <w:rsid w:val="00031F1E"/>
    <w:rsid w:val="00032E01"/>
    <w:rsid w:val="00050AE4"/>
    <w:rsid w:val="000540A3"/>
    <w:rsid w:val="00061FA9"/>
    <w:rsid w:val="00066997"/>
    <w:rsid w:val="000801F2"/>
    <w:rsid w:val="000A1F1F"/>
    <w:rsid w:val="000A6244"/>
    <w:rsid w:val="000B2D9B"/>
    <w:rsid w:val="000B78EC"/>
    <w:rsid w:val="000C5290"/>
    <w:rsid w:val="000D5368"/>
    <w:rsid w:val="000E038A"/>
    <w:rsid w:val="000F0B18"/>
    <w:rsid w:val="000F70AE"/>
    <w:rsid w:val="0011568C"/>
    <w:rsid w:val="001164EB"/>
    <w:rsid w:val="00122F21"/>
    <w:rsid w:val="00123BC2"/>
    <w:rsid w:val="00140042"/>
    <w:rsid w:val="00165B76"/>
    <w:rsid w:val="00176380"/>
    <w:rsid w:val="001764F8"/>
    <w:rsid w:val="001825F2"/>
    <w:rsid w:val="00183A82"/>
    <w:rsid w:val="00191B86"/>
    <w:rsid w:val="00195AB6"/>
    <w:rsid w:val="001C29FF"/>
    <w:rsid w:val="001C526B"/>
    <w:rsid w:val="001C53DF"/>
    <w:rsid w:val="001E789E"/>
    <w:rsid w:val="001F5322"/>
    <w:rsid w:val="001F7392"/>
    <w:rsid w:val="00213CF0"/>
    <w:rsid w:val="00221310"/>
    <w:rsid w:val="00221B38"/>
    <w:rsid w:val="00224185"/>
    <w:rsid w:val="00225B5A"/>
    <w:rsid w:val="00227013"/>
    <w:rsid w:val="00231498"/>
    <w:rsid w:val="00261AD8"/>
    <w:rsid w:val="00264C9C"/>
    <w:rsid w:val="00280915"/>
    <w:rsid w:val="0028146F"/>
    <w:rsid w:val="00286522"/>
    <w:rsid w:val="00297B7F"/>
    <w:rsid w:val="002A450F"/>
    <w:rsid w:val="002B192B"/>
    <w:rsid w:val="002B799B"/>
    <w:rsid w:val="002D0966"/>
    <w:rsid w:val="002E36E5"/>
    <w:rsid w:val="002E3C84"/>
    <w:rsid w:val="002F4EA5"/>
    <w:rsid w:val="00312189"/>
    <w:rsid w:val="00336AC5"/>
    <w:rsid w:val="0033756E"/>
    <w:rsid w:val="003479D0"/>
    <w:rsid w:val="00347C19"/>
    <w:rsid w:val="00351120"/>
    <w:rsid w:val="00352873"/>
    <w:rsid w:val="00353CBE"/>
    <w:rsid w:val="00355B2E"/>
    <w:rsid w:val="003665A9"/>
    <w:rsid w:val="003666BA"/>
    <w:rsid w:val="00367E2A"/>
    <w:rsid w:val="003712FD"/>
    <w:rsid w:val="00371B8C"/>
    <w:rsid w:val="0038053D"/>
    <w:rsid w:val="00386CF3"/>
    <w:rsid w:val="00387B14"/>
    <w:rsid w:val="00392320"/>
    <w:rsid w:val="003A58E7"/>
    <w:rsid w:val="003C4379"/>
    <w:rsid w:val="003F0054"/>
    <w:rsid w:val="0040641C"/>
    <w:rsid w:val="004162B4"/>
    <w:rsid w:val="00421B44"/>
    <w:rsid w:val="0043456F"/>
    <w:rsid w:val="00435A13"/>
    <w:rsid w:val="004437BB"/>
    <w:rsid w:val="00450931"/>
    <w:rsid w:val="00451EB5"/>
    <w:rsid w:val="004627E5"/>
    <w:rsid w:val="004765D9"/>
    <w:rsid w:val="00483A14"/>
    <w:rsid w:val="004A4E1B"/>
    <w:rsid w:val="004A7DD4"/>
    <w:rsid w:val="004D475A"/>
    <w:rsid w:val="004E2ECA"/>
    <w:rsid w:val="004F4374"/>
    <w:rsid w:val="004F57FB"/>
    <w:rsid w:val="005231E5"/>
    <w:rsid w:val="005234B4"/>
    <w:rsid w:val="00524CF6"/>
    <w:rsid w:val="00525BBF"/>
    <w:rsid w:val="00535484"/>
    <w:rsid w:val="00543A06"/>
    <w:rsid w:val="00563A84"/>
    <w:rsid w:val="0057573C"/>
    <w:rsid w:val="0058006C"/>
    <w:rsid w:val="005A2B8D"/>
    <w:rsid w:val="005A7CFD"/>
    <w:rsid w:val="005D2CC6"/>
    <w:rsid w:val="005D6DF3"/>
    <w:rsid w:val="005E0E94"/>
    <w:rsid w:val="005E22EA"/>
    <w:rsid w:val="005F023F"/>
    <w:rsid w:val="006035CB"/>
    <w:rsid w:val="00645D9E"/>
    <w:rsid w:val="0064747C"/>
    <w:rsid w:val="006712A9"/>
    <w:rsid w:val="00674E60"/>
    <w:rsid w:val="00686BC7"/>
    <w:rsid w:val="006A764D"/>
    <w:rsid w:val="006C7EE1"/>
    <w:rsid w:val="006F687C"/>
    <w:rsid w:val="007070A6"/>
    <w:rsid w:val="007204C6"/>
    <w:rsid w:val="00723FB4"/>
    <w:rsid w:val="00724B4D"/>
    <w:rsid w:val="00735F04"/>
    <w:rsid w:val="00760618"/>
    <w:rsid w:val="00760957"/>
    <w:rsid w:val="00764906"/>
    <w:rsid w:val="00771032"/>
    <w:rsid w:val="0077268E"/>
    <w:rsid w:val="00793D17"/>
    <w:rsid w:val="0079475D"/>
    <w:rsid w:val="007B0D5D"/>
    <w:rsid w:val="007B6FFD"/>
    <w:rsid w:val="007B7594"/>
    <w:rsid w:val="007C6435"/>
    <w:rsid w:val="007C7716"/>
    <w:rsid w:val="007D5CF6"/>
    <w:rsid w:val="007F1D21"/>
    <w:rsid w:val="008010F4"/>
    <w:rsid w:val="00813952"/>
    <w:rsid w:val="00850AD8"/>
    <w:rsid w:val="00861871"/>
    <w:rsid w:val="00861AA2"/>
    <w:rsid w:val="00861D23"/>
    <w:rsid w:val="00866451"/>
    <w:rsid w:val="008771C1"/>
    <w:rsid w:val="00882137"/>
    <w:rsid w:val="0089184C"/>
    <w:rsid w:val="008A3CA6"/>
    <w:rsid w:val="008A55EB"/>
    <w:rsid w:val="008B0878"/>
    <w:rsid w:val="008D1BAB"/>
    <w:rsid w:val="008E07FE"/>
    <w:rsid w:val="008E5723"/>
    <w:rsid w:val="00913A0E"/>
    <w:rsid w:val="00924A8C"/>
    <w:rsid w:val="00924C90"/>
    <w:rsid w:val="009358B4"/>
    <w:rsid w:val="00940C51"/>
    <w:rsid w:val="009479DB"/>
    <w:rsid w:val="009548C1"/>
    <w:rsid w:val="00964F73"/>
    <w:rsid w:val="0096625B"/>
    <w:rsid w:val="009924A5"/>
    <w:rsid w:val="00997FC6"/>
    <w:rsid w:val="009A409D"/>
    <w:rsid w:val="009C4936"/>
    <w:rsid w:val="009E1187"/>
    <w:rsid w:val="009E5BA1"/>
    <w:rsid w:val="00A16DEB"/>
    <w:rsid w:val="00A253C4"/>
    <w:rsid w:val="00A40A66"/>
    <w:rsid w:val="00A4492C"/>
    <w:rsid w:val="00A5025E"/>
    <w:rsid w:val="00A63518"/>
    <w:rsid w:val="00A63ED4"/>
    <w:rsid w:val="00A878E1"/>
    <w:rsid w:val="00A942B6"/>
    <w:rsid w:val="00AA1994"/>
    <w:rsid w:val="00AA4F85"/>
    <w:rsid w:val="00AA702B"/>
    <w:rsid w:val="00AB1A4C"/>
    <w:rsid w:val="00AB6B47"/>
    <w:rsid w:val="00AF4580"/>
    <w:rsid w:val="00B06117"/>
    <w:rsid w:val="00B11516"/>
    <w:rsid w:val="00B25541"/>
    <w:rsid w:val="00B3562E"/>
    <w:rsid w:val="00B371D7"/>
    <w:rsid w:val="00B4000C"/>
    <w:rsid w:val="00B4134A"/>
    <w:rsid w:val="00B559A7"/>
    <w:rsid w:val="00B82424"/>
    <w:rsid w:val="00BA0A76"/>
    <w:rsid w:val="00BB6A8C"/>
    <w:rsid w:val="00BB7A6D"/>
    <w:rsid w:val="00BD0586"/>
    <w:rsid w:val="00BD0681"/>
    <w:rsid w:val="00BD4557"/>
    <w:rsid w:val="00BD5DD2"/>
    <w:rsid w:val="00BF7054"/>
    <w:rsid w:val="00C05266"/>
    <w:rsid w:val="00C1248C"/>
    <w:rsid w:val="00C1343D"/>
    <w:rsid w:val="00C23E95"/>
    <w:rsid w:val="00C2647B"/>
    <w:rsid w:val="00C3245E"/>
    <w:rsid w:val="00C337B0"/>
    <w:rsid w:val="00C34A93"/>
    <w:rsid w:val="00C47C35"/>
    <w:rsid w:val="00C56802"/>
    <w:rsid w:val="00C57B61"/>
    <w:rsid w:val="00C61678"/>
    <w:rsid w:val="00C63180"/>
    <w:rsid w:val="00C73D07"/>
    <w:rsid w:val="00C75521"/>
    <w:rsid w:val="00C91E97"/>
    <w:rsid w:val="00C96661"/>
    <w:rsid w:val="00C97894"/>
    <w:rsid w:val="00CA46A8"/>
    <w:rsid w:val="00CB46FA"/>
    <w:rsid w:val="00CC0281"/>
    <w:rsid w:val="00CC211D"/>
    <w:rsid w:val="00CC2619"/>
    <w:rsid w:val="00CC6043"/>
    <w:rsid w:val="00CC74F8"/>
    <w:rsid w:val="00CF4500"/>
    <w:rsid w:val="00D01472"/>
    <w:rsid w:val="00D014D3"/>
    <w:rsid w:val="00D02BA0"/>
    <w:rsid w:val="00D02C45"/>
    <w:rsid w:val="00D04BB4"/>
    <w:rsid w:val="00D146DE"/>
    <w:rsid w:val="00D46616"/>
    <w:rsid w:val="00D466F1"/>
    <w:rsid w:val="00D5258D"/>
    <w:rsid w:val="00D77E6F"/>
    <w:rsid w:val="00D9544A"/>
    <w:rsid w:val="00D97C80"/>
    <w:rsid w:val="00DB47AA"/>
    <w:rsid w:val="00DD59F2"/>
    <w:rsid w:val="00DD731D"/>
    <w:rsid w:val="00DD7CB2"/>
    <w:rsid w:val="00DF127A"/>
    <w:rsid w:val="00DF4D0F"/>
    <w:rsid w:val="00DF7F9A"/>
    <w:rsid w:val="00E04E44"/>
    <w:rsid w:val="00E110A2"/>
    <w:rsid w:val="00E52F26"/>
    <w:rsid w:val="00E540DC"/>
    <w:rsid w:val="00E81C58"/>
    <w:rsid w:val="00E82927"/>
    <w:rsid w:val="00EA17A7"/>
    <w:rsid w:val="00EB4E44"/>
    <w:rsid w:val="00ED2823"/>
    <w:rsid w:val="00ED5EC5"/>
    <w:rsid w:val="00F110D5"/>
    <w:rsid w:val="00F20758"/>
    <w:rsid w:val="00F2636C"/>
    <w:rsid w:val="00F4181E"/>
    <w:rsid w:val="00F70D5E"/>
    <w:rsid w:val="00F80267"/>
    <w:rsid w:val="00FC4BCC"/>
    <w:rsid w:val="00FC7145"/>
    <w:rsid w:val="00FD15C1"/>
    <w:rsid w:val="00FD2E96"/>
    <w:rsid w:val="00FD6603"/>
    <w:rsid w:val="00FE0B0D"/>
    <w:rsid w:val="00FE489C"/>
    <w:rsid w:val="00FE5927"/>
    <w:rsid w:val="00FF4D63"/>
    <w:rsid w:val="4313793E"/>
    <w:rsid w:val="5CAD0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559</Words>
  <Characters>3187</Characters>
  <Lines>26</Lines>
  <Paragraphs>7</Paragraphs>
  <TotalTime>1</TotalTime>
  <ScaleCrop>false</ScaleCrop>
  <LinksUpToDate>false</LinksUpToDate>
  <CharactersWithSpaces>3739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2018-08-23T08:10:00Z</dcterms:created>
  <dc:creator>Administrator</dc:creator>
  <cp:lastModifiedBy>iii</cp:lastModifiedBy>
  <cp:lastPrinted>2018-06-07T08:58:00Z</cp:lastPrinted>
  <dcterms:modified xsi:type="dcterms:W3CDTF">2018-10-17T08:30:53Z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